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R4-2010082</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Pending issues on cell re-selection under NR-U</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7.1.5.10</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eastAsia="宋体"/>
          <w:sz w:val="22"/>
          <w:lang w:eastAsia="zh-CN"/>
        </w:rPr>
      </w:pPr>
      <w:r>
        <w:rPr>
          <w:rFonts w:hint="eastAsia" w:eastAsia="宋体"/>
          <w:sz w:val="22"/>
          <w:lang w:eastAsia="zh-CN"/>
        </w:rPr>
        <w:t>In RAN4 9</w:t>
      </w:r>
      <w:r>
        <w:rPr>
          <w:rFonts w:hint="eastAsia" w:eastAsia="宋体"/>
          <w:sz w:val="22"/>
          <w:lang w:val="en-US" w:eastAsia="zh-CN"/>
        </w:rPr>
        <w:t>5</w:t>
      </w:r>
      <w:r>
        <w:rPr>
          <w:rFonts w:hint="eastAsia" w:eastAsia="宋体"/>
          <w:sz w:val="22"/>
          <w:lang w:eastAsia="zh-CN"/>
        </w:rPr>
        <w:t xml:space="preserve">-e, the topic of UE behaviour under certain cases </w:t>
      </w:r>
      <w:r>
        <w:rPr>
          <w:rFonts w:hint="eastAsia" w:eastAsia="宋体"/>
          <w:sz w:val="22"/>
          <w:lang w:val="en-US" w:eastAsia="zh-CN"/>
        </w:rPr>
        <w:t xml:space="preserve">for intra/inter-frequency measurements </w:t>
      </w:r>
      <w:bookmarkStart w:id="5" w:name="_GoBack"/>
      <w:bookmarkEnd w:id="5"/>
      <w:r>
        <w:rPr>
          <w:rFonts w:hint="eastAsia" w:eastAsia="宋体"/>
          <w:sz w:val="22"/>
          <w:lang w:eastAsia="zh-CN"/>
        </w:rPr>
        <w:t>has been discussed. Companies</w:t>
      </w:r>
      <w:r>
        <w:rPr>
          <w:rFonts w:eastAsia="宋体"/>
          <w:sz w:val="22"/>
          <w:lang w:eastAsia="zh-CN"/>
        </w:rPr>
        <w:t>’</w:t>
      </w:r>
      <w:r>
        <w:rPr>
          <w:rFonts w:hint="eastAsia" w:eastAsia="宋体"/>
          <w:sz w:val="22"/>
          <w:lang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jc w:val="center"/>
            </w:pPr>
            <w:r>
              <w:drawing>
                <wp:inline distT="0" distB="0" distL="114300" distR="114300">
                  <wp:extent cx="3954780" cy="2070735"/>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954780" cy="2070735"/>
                          </a:xfrm>
                          <a:prstGeom prst="rect">
                            <a:avLst/>
                          </a:prstGeom>
                          <a:noFill/>
                          <a:ln>
                            <a:noFill/>
                          </a:ln>
                        </pic:spPr>
                      </pic:pic>
                    </a:graphicData>
                  </a:graphic>
                </wp:inline>
              </w:drawing>
            </w:r>
          </w:p>
          <w:p>
            <w:pPr>
              <w:pStyle w:val="25"/>
              <w:spacing w:after="200" w:line="276" w:lineRule="auto"/>
              <w:ind w:left="0"/>
              <w:jc w:val="center"/>
            </w:pPr>
            <w:r>
              <w:drawing>
                <wp:inline distT="0" distB="0" distL="114300" distR="114300">
                  <wp:extent cx="4039870" cy="1482090"/>
                  <wp:effectExtent l="0" t="0" r="1778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039870" cy="1482090"/>
                          </a:xfrm>
                          <a:prstGeom prst="rect">
                            <a:avLst/>
                          </a:prstGeom>
                          <a:noFill/>
                          <a:ln>
                            <a:noFill/>
                          </a:ln>
                        </pic:spPr>
                      </pic:pic>
                    </a:graphicData>
                  </a:graphic>
                </wp:inline>
              </w:drawing>
            </w:r>
          </w:p>
          <w:p>
            <w:pPr>
              <w:pStyle w:val="25"/>
              <w:spacing w:after="200" w:line="276" w:lineRule="auto"/>
              <w:ind w:left="0"/>
              <w:jc w:val="center"/>
            </w:pPr>
          </w:p>
          <w:p>
            <w:pPr>
              <w:pStyle w:val="25"/>
              <w:spacing w:after="200" w:line="276" w:lineRule="auto"/>
              <w:ind w:left="0"/>
              <w:jc w:val="center"/>
              <w:rPr>
                <w:lang w:eastAsia="zh-CN"/>
              </w:rPr>
            </w:pPr>
            <w:r>
              <w:drawing>
                <wp:inline distT="0" distB="0" distL="114300" distR="114300">
                  <wp:extent cx="4359910" cy="2383790"/>
                  <wp:effectExtent l="0" t="0" r="2540"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359910" cy="2383790"/>
                          </a:xfrm>
                          <a:prstGeom prst="rect">
                            <a:avLst/>
                          </a:prstGeom>
                          <a:noFill/>
                          <a:ln>
                            <a:noFill/>
                          </a:ln>
                        </pic:spPr>
                      </pic:pic>
                    </a:graphicData>
                  </a:graphic>
                </wp:inline>
              </w:drawing>
            </w:r>
          </w:p>
        </w:tc>
      </w:tr>
    </w:tbl>
    <w:p>
      <w:pPr>
        <w:pStyle w:val="35"/>
        <w:numPr>
          <w:ilvl w:val="0"/>
          <w:numId w:val="0"/>
        </w:numPr>
        <w:rPr>
          <w:rFonts w:eastAsia="宋体"/>
          <w:b w:val="0"/>
          <w:bCs/>
          <w:szCs w:val="22"/>
          <w:lang w:eastAsia="zh-CN"/>
        </w:rPr>
      </w:pPr>
      <w:r>
        <w:rPr>
          <w:rFonts w:hint="eastAsia"/>
          <w:b w:val="0"/>
          <w:bCs/>
          <w:szCs w:val="22"/>
          <w:lang w:eastAsia="zh-CN"/>
        </w:rPr>
        <w:t>This paper discusses the open issues listed above in the WF and provide our view.</w:t>
      </w:r>
    </w:p>
    <w:p>
      <w:pPr>
        <w:pStyle w:val="27"/>
        <w:jc w:val="both"/>
        <w:rPr>
          <w:lang w:val="en-US" w:eastAsia="zh-CN"/>
        </w:rPr>
      </w:pPr>
      <w:r>
        <w:t>2</w:t>
      </w:r>
      <w:r>
        <w:tab/>
      </w:r>
      <w:r>
        <w:rPr>
          <w:rFonts w:hint="eastAsia"/>
          <w:lang w:val="en-US" w:eastAsia="zh-CN"/>
        </w:rPr>
        <w:t>Pending issues</w:t>
      </w:r>
    </w:p>
    <w:p>
      <w:pPr>
        <w:rPr>
          <w:sz w:val="22"/>
          <w:lang w:eastAsia="zh-CN"/>
        </w:rPr>
      </w:pPr>
      <w:r>
        <w:rPr>
          <w:rFonts w:eastAsiaTheme="minorEastAsia"/>
          <w:b/>
          <w:color w:val="000000" w:themeColor="text1"/>
          <w:u w:val="single"/>
          <w:lang w:eastAsia="zh-CN"/>
          <w14:textFill>
            <w14:solidFill>
              <w14:schemeClr w14:val="tx1"/>
            </w14:solidFill>
          </w14:textFill>
        </w:rPr>
        <w:t>Issue</w:t>
      </w:r>
      <w:r>
        <w:rPr>
          <w:rFonts w:hint="eastAsia" w:eastAsiaTheme="minorEastAsia"/>
          <w:b/>
          <w:color w:val="000000" w:themeColor="text1"/>
          <w:u w:val="single"/>
          <w:lang w:val="en-US" w:eastAsia="zh-CN"/>
          <w14:textFill>
            <w14:solidFill>
              <w14:schemeClr w14:val="tx1"/>
            </w14:solidFill>
          </w14:textFill>
        </w:rPr>
        <w:t xml:space="preserve"> 2-2-1</w:t>
      </w:r>
      <w:r>
        <w:rPr>
          <w:rFonts w:eastAsiaTheme="minorEastAsia"/>
          <w:b/>
          <w:color w:val="000000" w:themeColor="text1"/>
          <w:u w:val="single"/>
          <w:lang w:eastAsia="zh-CN"/>
          <w14:textFill>
            <w14:solidFill>
              <w14:schemeClr w14:val="tx1"/>
            </w14:solidFill>
          </w14:textFill>
        </w:rPr>
        <w:t xml:space="preserve">: </w:t>
      </w:r>
      <w:r>
        <w:rPr>
          <w:rFonts w:hint="eastAsia" w:eastAsiaTheme="minorEastAsia"/>
          <w:b/>
          <w:color w:val="000000" w:themeColor="text1"/>
          <w:u w:val="single"/>
          <w:lang w:eastAsia="zh-CN"/>
          <w14:textFill>
            <w14:solidFill>
              <w14:schemeClr w14:val="tx1"/>
            </w14:solidFill>
          </w14:textFill>
        </w:rPr>
        <w:t>UE behaviour in RRC_CONNECTED mode when the serving cell is unavailable for consecutive SSB bursts</w:t>
      </w:r>
    </w:p>
    <w:p>
      <w:pPr>
        <w:rPr>
          <w:rFonts w:hint="default"/>
          <w:sz w:val="22"/>
          <w:szCs w:val="22"/>
          <w:lang w:val="en-US" w:eastAsia="zh-CN"/>
        </w:rPr>
      </w:pPr>
      <w:r>
        <w:rPr>
          <w:rFonts w:hint="eastAsia"/>
          <w:sz w:val="22"/>
          <w:szCs w:val="22"/>
          <w:lang w:val="en-US" w:eastAsia="zh-CN"/>
        </w:rPr>
        <w:t>This issue has been discussed for several meetings. Some companies state the importance of the new feature in Option 1 while some insisted that the current UE behavior (as described in Option 2) was enough. We think a compromise solution might be to keep current UE behavior as Option 2 and further study the feasibility of Option 1 as a possible enhancement to NR-U in Rel-17 phase.</w:t>
      </w:r>
    </w:p>
    <w:p>
      <w:pPr>
        <w:pStyle w:val="35"/>
        <w:rPr>
          <w:szCs w:val="22"/>
          <w:lang w:eastAsia="zh-CN"/>
        </w:rPr>
      </w:pPr>
      <w:r>
        <w:rPr>
          <w:rFonts w:hint="eastAsia"/>
          <w:sz w:val="22"/>
          <w:szCs w:val="22"/>
          <w:lang w:val="en-US" w:eastAsia="zh-CN"/>
        </w:rPr>
        <w:t>For</w:t>
      </w:r>
      <w:r>
        <w:rPr>
          <w:rFonts w:hint="eastAsia"/>
          <w:sz w:val="22"/>
          <w:szCs w:val="22"/>
          <w:u w:val="none"/>
          <w:lang w:val="en-US" w:eastAsia="zh-CN"/>
        </w:rPr>
        <w:t xml:space="preserve"> </w:t>
      </w:r>
      <w:r>
        <w:rPr>
          <w:rFonts w:hint="eastAsia" w:eastAsiaTheme="minorEastAsia"/>
          <w:b/>
          <w:color w:val="000000" w:themeColor="text1"/>
          <w:u w:val="none"/>
          <w:lang w:eastAsia="zh-CN"/>
          <w14:textFill>
            <w14:solidFill>
              <w14:schemeClr w14:val="tx1"/>
            </w14:solidFill>
          </w14:textFill>
        </w:rPr>
        <w:t>UE behaviour in RRC_CONNECTED mode when the serving cell is unavailable for consecutive SSB bursts</w:t>
      </w:r>
      <w:r>
        <w:rPr>
          <w:rFonts w:hint="eastAsia" w:eastAsiaTheme="minorEastAsia"/>
          <w:b/>
          <w:color w:val="000000" w:themeColor="text1"/>
          <w:u w:val="none"/>
          <w:lang w:val="en-US" w:eastAsia="zh-CN"/>
          <w14:textFill>
            <w14:solidFill>
              <w14:schemeClr w14:val="tx1"/>
            </w14:solidFill>
          </w14:textFill>
        </w:rPr>
        <w:t>, k</w:t>
      </w:r>
      <w:r>
        <w:rPr>
          <w:rFonts w:hint="eastAsia"/>
          <w:sz w:val="22"/>
          <w:szCs w:val="22"/>
          <w:lang w:val="en-US" w:eastAsia="zh-CN"/>
        </w:rPr>
        <w:t>eep current UE behavior as Option 2 and further study the feasibility of Option 1 as a possible enhancement to NR-U in Rel-17 phase</w:t>
      </w:r>
      <w:r>
        <w:rPr>
          <w:rFonts w:hint="eastAsia"/>
          <w:szCs w:val="22"/>
          <w:lang w:eastAsia="zh-CN"/>
        </w:rPr>
        <w:t>.</w:t>
      </w:r>
    </w:p>
    <w:p>
      <w:pPr>
        <w:rPr>
          <w:rFonts w:eastAsiaTheme="minorEastAsia"/>
          <w:b/>
          <w:color w:val="000000" w:themeColor="text1"/>
          <w:u w:val="single"/>
          <w:lang w:eastAsia="zh-CN"/>
          <w14:textFill>
            <w14:solidFill>
              <w14:schemeClr w14:val="tx1"/>
            </w14:solidFill>
          </w14:textFill>
        </w:rPr>
      </w:pPr>
    </w:p>
    <w:p>
      <w:pPr>
        <w:rPr>
          <w:sz w:val="22"/>
          <w:lang w:eastAsia="zh-CN"/>
        </w:rPr>
      </w:pPr>
      <w:r>
        <w:rPr>
          <w:rFonts w:eastAsiaTheme="minorEastAsia"/>
          <w:b/>
          <w:color w:val="000000" w:themeColor="text1"/>
          <w:u w:val="single"/>
          <w:lang w:eastAsia="zh-CN"/>
          <w14:textFill>
            <w14:solidFill>
              <w14:schemeClr w14:val="tx1"/>
            </w14:solidFill>
          </w14:textFill>
        </w:rPr>
        <w:t>Issue</w:t>
      </w:r>
      <w:r>
        <w:rPr>
          <w:rFonts w:hint="eastAsia" w:eastAsiaTheme="minorEastAsia"/>
          <w:b/>
          <w:color w:val="000000" w:themeColor="text1"/>
          <w:u w:val="single"/>
          <w:lang w:val="en-US" w:eastAsia="zh-CN"/>
          <w14:textFill>
            <w14:solidFill>
              <w14:schemeClr w14:val="tx1"/>
            </w14:solidFill>
          </w14:textFill>
        </w:rPr>
        <w:t xml:space="preserve"> 2-4-2</w:t>
      </w:r>
      <w:r>
        <w:rPr>
          <w:rFonts w:eastAsiaTheme="minorEastAsia"/>
          <w:b/>
          <w:color w:val="000000" w:themeColor="text1"/>
          <w:u w:val="single"/>
          <w:lang w:eastAsia="zh-CN"/>
          <w14:textFill>
            <w14:solidFill>
              <w14:schemeClr w14:val="tx1"/>
            </w14:solidFill>
          </w14:textFill>
        </w:rPr>
        <w:t xml:space="preserve">: </w:t>
      </w:r>
      <w:r>
        <w:rPr>
          <w:rFonts w:hint="eastAsia" w:eastAsiaTheme="minorEastAsia"/>
          <w:b/>
          <w:color w:val="000000" w:themeColor="text1"/>
          <w:u w:val="single"/>
          <w:lang w:eastAsia="zh-CN"/>
          <w14:textFill>
            <w14:solidFill>
              <w14:schemeClr w14:val="tx1"/>
            </w14:solidFill>
          </w14:textFill>
        </w:rPr>
        <w:t>Applicability of the signaling of SMTC2 to NR-U</w:t>
      </w:r>
    </w:p>
    <w:p>
      <w:pPr>
        <w:rPr>
          <w:rFonts w:hint="default"/>
          <w:sz w:val="22"/>
          <w:szCs w:val="22"/>
          <w:lang w:val="en-US" w:eastAsia="zh-CN"/>
        </w:rPr>
      </w:pPr>
      <w:r>
        <w:rPr>
          <w:rFonts w:hint="eastAsia"/>
          <w:sz w:val="22"/>
          <w:szCs w:val="22"/>
          <w:lang w:val="en-US" w:eastAsia="zh-CN"/>
        </w:rPr>
        <w:t>Our view hasn</w:t>
      </w:r>
      <w:r>
        <w:rPr>
          <w:rFonts w:hint="default"/>
          <w:sz w:val="22"/>
          <w:szCs w:val="22"/>
          <w:lang w:val="en-US" w:eastAsia="zh-CN"/>
        </w:rPr>
        <w:t>’</w:t>
      </w:r>
      <w:r>
        <w:rPr>
          <w:rFonts w:hint="eastAsia"/>
          <w:sz w:val="22"/>
          <w:szCs w:val="22"/>
          <w:lang w:val="en-US" w:eastAsia="zh-CN"/>
        </w:rPr>
        <w:t xml:space="preserve">t changed from last meeting that if SMTC2 is not explicitly said to be not applicable to NR-U, then it is applicable. The network can decide whether / when to configure it. Thus, we agree on Option 2 in the WF, which is the signaling of smtc2 is applicable to unlicensed band. </w:t>
      </w:r>
    </w:p>
    <w:p>
      <w:pPr>
        <w:pStyle w:val="35"/>
        <w:rPr>
          <w:sz w:val="22"/>
          <w:szCs w:val="22"/>
          <w:lang w:eastAsia="zh-CN"/>
        </w:rPr>
      </w:pPr>
      <w:r>
        <w:rPr>
          <w:rFonts w:hint="eastAsia"/>
          <w:sz w:val="22"/>
          <w:szCs w:val="22"/>
          <w:lang w:val="en-US" w:eastAsia="zh-CN"/>
        </w:rPr>
        <w:t>Signaling of smtc2 is applicable to unlicensed band</w:t>
      </w:r>
      <w:r>
        <w:rPr>
          <w:rFonts w:hint="eastAsia"/>
          <w:sz w:val="22"/>
          <w:szCs w:val="22"/>
          <w:lang w:eastAsia="zh-CN"/>
        </w:rPr>
        <w:t>.</w:t>
      </w:r>
    </w:p>
    <w:p>
      <w:pPr>
        <w:rPr>
          <w:rFonts w:eastAsiaTheme="minorEastAsia"/>
          <w:b/>
          <w:color w:val="000000" w:themeColor="text1"/>
          <w:u w:val="single"/>
          <w:lang w:eastAsia="zh-CN"/>
          <w14:textFill>
            <w14:solidFill>
              <w14:schemeClr w14:val="tx1"/>
            </w14:solidFill>
          </w14:textFill>
        </w:rPr>
      </w:pPr>
    </w:p>
    <w:p>
      <w:pPr>
        <w:rPr>
          <w:sz w:val="22"/>
          <w:lang w:eastAsia="zh-CN"/>
        </w:rPr>
      </w:pPr>
      <w:r>
        <w:rPr>
          <w:rFonts w:eastAsiaTheme="minorEastAsia"/>
          <w:b/>
          <w:color w:val="000000" w:themeColor="text1"/>
          <w:u w:val="single"/>
          <w:lang w:eastAsia="zh-CN"/>
          <w14:textFill>
            <w14:solidFill>
              <w14:schemeClr w14:val="tx1"/>
            </w14:solidFill>
          </w14:textFill>
        </w:rPr>
        <w:t>Issue</w:t>
      </w:r>
      <w:r>
        <w:rPr>
          <w:rFonts w:hint="eastAsia" w:eastAsiaTheme="minorEastAsia"/>
          <w:b/>
          <w:color w:val="000000" w:themeColor="text1"/>
          <w:u w:val="single"/>
          <w:lang w:val="en-US" w:eastAsia="zh-CN"/>
          <w14:textFill>
            <w14:solidFill>
              <w14:schemeClr w14:val="tx1"/>
            </w14:solidFill>
          </w14:textFill>
        </w:rPr>
        <w:t xml:space="preserve"> 2-5-1</w:t>
      </w:r>
      <w:r>
        <w:rPr>
          <w:rFonts w:eastAsiaTheme="minorEastAsia"/>
          <w:b/>
          <w:color w:val="000000" w:themeColor="text1"/>
          <w:u w:val="single"/>
          <w:lang w:eastAsia="zh-CN"/>
          <w14:textFill>
            <w14:solidFill>
              <w14:schemeClr w14:val="tx1"/>
            </w14:solidFill>
          </w14:textFill>
        </w:rPr>
        <w:t>: Detailed UE behavior when receiving the MAC CE deactivation command for semi-persistent CSI reporting, in case of UL LBT failure for sending the ACK</w:t>
      </w:r>
    </w:p>
    <w:p>
      <w:pPr>
        <w:rPr>
          <w:sz w:val="22"/>
          <w:lang w:eastAsia="zh-CN"/>
        </w:rPr>
      </w:pPr>
      <w:r>
        <w:rPr>
          <w:rFonts w:hint="eastAsia"/>
          <w:sz w:val="22"/>
          <w:lang w:eastAsia="zh-CN"/>
        </w:rPr>
        <w:t>We think under this case, it only makes sense for the UE to remain in its old state (activated). This is because from the network perspective, no ACK message could mean the UE fails to receive / decode the MAC-CE deactivation command. In this case, it</w:t>
      </w:r>
      <w:r>
        <w:rPr>
          <w:sz w:val="22"/>
          <w:lang w:eastAsia="zh-CN"/>
        </w:rPr>
        <w:t>’</w:t>
      </w:r>
      <w:r>
        <w:rPr>
          <w:rFonts w:hint="eastAsia"/>
          <w:sz w:val="22"/>
          <w:lang w:eastAsia="zh-CN"/>
        </w:rPr>
        <w:t>s only logical for the network to assume that the UE would remain in activated state, to avoid mismatch between the network and the UE. During RAN4 94-e, it was pointed out by some company that the network may have allocated the UL resource to another UE after sending the MAC-CE deactivation command. In our view there is such a probability, however it</w:t>
      </w:r>
      <w:r>
        <w:rPr>
          <w:sz w:val="22"/>
          <w:lang w:eastAsia="zh-CN"/>
        </w:rPr>
        <w:t>’</w:t>
      </w:r>
      <w:r>
        <w:rPr>
          <w:rFonts w:hint="eastAsia"/>
          <w:sz w:val="22"/>
          <w:lang w:eastAsia="zh-CN"/>
        </w:rPr>
        <w:t>s up to the network to schedule UEs in uplink so the described scenario can be avoided. This seems like a corner case to us.</w:t>
      </w:r>
    </w:p>
    <w:p>
      <w:pPr>
        <w:pStyle w:val="35"/>
        <w:rPr>
          <w:rFonts w:hint="eastAsia"/>
          <w:lang w:val="en-US" w:eastAsia="zh-CN"/>
        </w:rPr>
      </w:pPr>
      <w:r>
        <w:rPr>
          <w:rFonts w:eastAsia="MS Mincho"/>
          <w:bCs/>
        </w:rPr>
        <w:t>If UE cannot transmit HARQ-ACK on MAC-CE deactivation due to UL CCA failure, UE continues to be in its previous state, i.e., it should measure and report L1-RSRP until it successfully transmits HARQ-ACK</w:t>
      </w:r>
      <w:r>
        <w:rPr>
          <w:rFonts w:hint="eastAsia"/>
          <w:szCs w:val="22"/>
          <w:lang w:eastAsia="zh-CN"/>
        </w:rPr>
        <w:t>.</w:t>
      </w:r>
    </w:p>
    <w:p>
      <w:pPr>
        <w:pStyle w:val="27"/>
        <w:jc w:val="both"/>
      </w:pPr>
      <w:r>
        <w:rPr>
          <w:rFonts w:hint="eastAsia"/>
          <w:lang w:val="en-US" w:eastAsia="zh-CN"/>
        </w:rPr>
        <w:t>3</w:t>
      </w:r>
      <w:r>
        <w:tab/>
      </w:r>
      <w:r>
        <w:t>Conclusion</w:t>
      </w:r>
    </w:p>
    <w:p>
      <w:pPr>
        <w:rPr>
          <w:rFonts w:hint="eastAsia"/>
          <w:b/>
          <w:bCs w:val="0"/>
          <w:sz w:val="22"/>
          <w:lang w:eastAsia="zh-CN"/>
        </w:rPr>
      </w:pPr>
      <w:r>
        <w:rPr>
          <w:rFonts w:hint="eastAsia"/>
          <w:b/>
          <w:bCs w:val="0"/>
          <w:sz w:val="22"/>
          <w:lang w:eastAsia="zh-CN"/>
        </w:rPr>
        <w:t xml:space="preserve">Proposal </w:t>
      </w:r>
      <w:r>
        <w:rPr>
          <w:rFonts w:hint="eastAsia"/>
          <w:b/>
          <w:bCs w:val="0"/>
          <w:sz w:val="22"/>
          <w:lang w:val="en-US" w:eastAsia="zh-CN"/>
        </w:rPr>
        <w:t>1</w:t>
      </w:r>
      <w:r>
        <w:rPr>
          <w:rFonts w:hint="eastAsia"/>
          <w:b/>
          <w:bCs w:val="0"/>
          <w:sz w:val="22"/>
          <w:lang w:eastAsia="zh-CN"/>
        </w:rPr>
        <w:t xml:space="preserve">: </w:t>
      </w:r>
      <w:r>
        <w:rPr>
          <w:rFonts w:hint="eastAsia"/>
          <w:b/>
          <w:bCs w:val="0"/>
          <w:sz w:val="22"/>
          <w:szCs w:val="22"/>
          <w:lang w:val="en-US" w:eastAsia="zh-CN"/>
        </w:rPr>
        <w:t>For</w:t>
      </w:r>
      <w:r>
        <w:rPr>
          <w:rFonts w:hint="eastAsia"/>
          <w:b/>
          <w:bCs w:val="0"/>
          <w:sz w:val="22"/>
          <w:szCs w:val="22"/>
          <w:u w:val="none"/>
          <w:lang w:val="en-US" w:eastAsia="zh-CN"/>
        </w:rPr>
        <w:t xml:space="preserve"> </w:t>
      </w:r>
      <w:r>
        <w:rPr>
          <w:rFonts w:hint="eastAsia" w:eastAsiaTheme="minorEastAsia"/>
          <w:b/>
          <w:bCs w:val="0"/>
          <w:color w:val="000000" w:themeColor="text1"/>
          <w:u w:val="none"/>
          <w:lang w:eastAsia="zh-CN"/>
          <w14:textFill>
            <w14:solidFill>
              <w14:schemeClr w14:val="tx1"/>
            </w14:solidFill>
          </w14:textFill>
        </w:rPr>
        <w:t>UE behaviour in RRC_CONNECTED mode when the serving cell is unavailable for consecutive SSB bursts</w:t>
      </w:r>
      <w:r>
        <w:rPr>
          <w:rFonts w:hint="eastAsia" w:eastAsiaTheme="minorEastAsia"/>
          <w:b/>
          <w:bCs w:val="0"/>
          <w:color w:val="000000" w:themeColor="text1"/>
          <w:u w:val="none"/>
          <w:lang w:val="en-US" w:eastAsia="zh-CN"/>
          <w14:textFill>
            <w14:solidFill>
              <w14:schemeClr w14:val="tx1"/>
            </w14:solidFill>
          </w14:textFill>
        </w:rPr>
        <w:t>, k</w:t>
      </w:r>
      <w:r>
        <w:rPr>
          <w:rFonts w:hint="eastAsia"/>
          <w:b/>
          <w:bCs w:val="0"/>
          <w:sz w:val="22"/>
          <w:szCs w:val="22"/>
          <w:lang w:val="en-US" w:eastAsia="zh-CN"/>
        </w:rPr>
        <w:t>eep current UE behavior as Option 2 and further study the feasibility of Option 1 as a possible enhancement to NR-U in Rel-17 phase</w:t>
      </w:r>
      <w:r>
        <w:rPr>
          <w:rFonts w:hint="eastAsia"/>
          <w:b/>
          <w:bCs w:val="0"/>
          <w:sz w:val="22"/>
          <w:lang w:eastAsia="zh-CN"/>
        </w:rPr>
        <w:t>.</w:t>
      </w:r>
    </w:p>
    <w:p>
      <w:pPr>
        <w:rPr>
          <w:rFonts w:hint="default"/>
          <w:b/>
          <w:bCs w:val="0"/>
          <w:sz w:val="22"/>
          <w:szCs w:val="22"/>
          <w:lang w:val="en-US" w:eastAsia="zh-CN"/>
        </w:rPr>
      </w:pPr>
      <w:r>
        <w:rPr>
          <w:rFonts w:hint="eastAsia"/>
          <w:b/>
          <w:bCs w:val="0"/>
          <w:sz w:val="22"/>
          <w:lang w:eastAsia="zh-CN"/>
        </w:rPr>
        <w:t xml:space="preserve">Proposal </w:t>
      </w:r>
      <w:r>
        <w:rPr>
          <w:rFonts w:hint="eastAsia"/>
          <w:b/>
          <w:bCs w:val="0"/>
          <w:sz w:val="22"/>
          <w:lang w:val="en-US" w:eastAsia="zh-CN"/>
        </w:rPr>
        <w:t>2</w:t>
      </w:r>
      <w:r>
        <w:rPr>
          <w:rFonts w:hint="eastAsia"/>
          <w:b/>
          <w:bCs w:val="0"/>
          <w:sz w:val="22"/>
          <w:lang w:eastAsia="zh-CN"/>
        </w:rPr>
        <w:t xml:space="preserve">: </w:t>
      </w:r>
      <w:r>
        <w:rPr>
          <w:rFonts w:hint="eastAsia"/>
          <w:b/>
          <w:bCs w:val="0"/>
          <w:sz w:val="22"/>
          <w:szCs w:val="22"/>
          <w:lang w:val="en-US" w:eastAsia="zh-CN"/>
        </w:rPr>
        <w:t>Signaling of smtc2 is applicable to unlicensed band.</w:t>
      </w:r>
    </w:p>
    <w:p>
      <w:pPr>
        <w:rPr>
          <w:rFonts w:hint="eastAsia" w:eastAsia="宋体"/>
          <w:b/>
          <w:bCs w:val="0"/>
          <w:sz w:val="22"/>
          <w:szCs w:val="22"/>
          <w:lang w:val="en-US" w:eastAsia="zh-CN"/>
        </w:rPr>
      </w:pPr>
      <w:r>
        <w:rPr>
          <w:rFonts w:hint="eastAsia"/>
          <w:b/>
          <w:bCs w:val="0"/>
          <w:sz w:val="22"/>
          <w:lang w:eastAsia="zh-CN"/>
        </w:rPr>
        <w:t xml:space="preserve">Proposal </w:t>
      </w:r>
      <w:r>
        <w:rPr>
          <w:rFonts w:hint="eastAsia"/>
          <w:b/>
          <w:bCs w:val="0"/>
          <w:sz w:val="22"/>
          <w:lang w:val="en-US" w:eastAsia="zh-CN"/>
        </w:rPr>
        <w:t>3</w:t>
      </w:r>
      <w:r>
        <w:rPr>
          <w:rFonts w:hint="eastAsia"/>
          <w:b/>
          <w:bCs w:val="0"/>
          <w:sz w:val="22"/>
          <w:lang w:eastAsia="zh-CN"/>
        </w:rPr>
        <w:t xml:space="preserve">: </w:t>
      </w:r>
      <w:r>
        <w:rPr>
          <w:rFonts w:eastAsia="MS Mincho"/>
          <w:b/>
          <w:bCs w:val="0"/>
        </w:rPr>
        <w:t>If UE cannot transmit HARQ-ACK on MAC-CE deactivation due to UL CCA failure, UE continues to be in its previous state, i.e., it should measure and report L1-RSRP until it successfully transmits HARQ-ACK</w:t>
      </w:r>
      <w:r>
        <w:rPr>
          <w:rFonts w:hint="eastAsia" w:eastAsia="宋体"/>
          <w:b/>
          <w:bCs w:val="0"/>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R4-2008567, WF on NR-U RRM requirements (Part 3), Nokia, Nokia Shanghai Bell</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26C49"/>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1405"/>
    <w:rsid w:val="00773A23"/>
    <w:rsid w:val="00780D36"/>
    <w:rsid w:val="00785232"/>
    <w:rsid w:val="00787B59"/>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844563"/>
    <w:rsid w:val="059B61E4"/>
    <w:rsid w:val="05A86143"/>
    <w:rsid w:val="05D42FA6"/>
    <w:rsid w:val="06105DAC"/>
    <w:rsid w:val="066957D5"/>
    <w:rsid w:val="069766CC"/>
    <w:rsid w:val="07502CA2"/>
    <w:rsid w:val="078B76F8"/>
    <w:rsid w:val="079D410C"/>
    <w:rsid w:val="07D735D1"/>
    <w:rsid w:val="080A5373"/>
    <w:rsid w:val="08641205"/>
    <w:rsid w:val="0868025F"/>
    <w:rsid w:val="0873226E"/>
    <w:rsid w:val="08935729"/>
    <w:rsid w:val="08C654D4"/>
    <w:rsid w:val="08CC5D10"/>
    <w:rsid w:val="092C45E6"/>
    <w:rsid w:val="099F556C"/>
    <w:rsid w:val="09AC0546"/>
    <w:rsid w:val="09C640C3"/>
    <w:rsid w:val="0A5763D4"/>
    <w:rsid w:val="0A7BF868"/>
    <w:rsid w:val="0B117A1D"/>
    <w:rsid w:val="0B7322DC"/>
    <w:rsid w:val="0BB77882"/>
    <w:rsid w:val="0C3C5307"/>
    <w:rsid w:val="0C56263C"/>
    <w:rsid w:val="0C5E2B8A"/>
    <w:rsid w:val="0D102274"/>
    <w:rsid w:val="0DA958CA"/>
    <w:rsid w:val="0DF104D3"/>
    <w:rsid w:val="0E1C586B"/>
    <w:rsid w:val="0E8A024B"/>
    <w:rsid w:val="0ED138E6"/>
    <w:rsid w:val="0F67780F"/>
    <w:rsid w:val="0F8F3C2A"/>
    <w:rsid w:val="0FB648CB"/>
    <w:rsid w:val="0FD0731A"/>
    <w:rsid w:val="0FD319F0"/>
    <w:rsid w:val="0FF1533A"/>
    <w:rsid w:val="0FFE0AFA"/>
    <w:rsid w:val="10860ED5"/>
    <w:rsid w:val="10AA3C13"/>
    <w:rsid w:val="10CA41CF"/>
    <w:rsid w:val="10CD0B75"/>
    <w:rsid w:val="110C4D24"/>
    <w:rsid w:val="11283655"/>
    <w:rsid w:val="11E24599"/>
    <w:rsid w:val="11F71F3A"/>
    <w:rsid w:val="122017FC"/>
    <w:rsid w:val="12506B39"/>
    <w:rsid w:val="128409CA"/>
    <w:rsid w:val="12BB3A94"/>
    <w:rsid w:val="12EF585C"/>
    <w:rsid w:val="13262572"/>
    <w:rsid w:val="136D11EC"/>
    <w:rsid w:val="137D50D6"/>
    <w:rsid w:val="139B3B65"/>
    <w:rsid w:val="13D36053"/>
    <w:rsid w:val="13F75352"/>
    <w:rsid w:val="141E7377"/>
    <w:rsid w:val="1480544B"/>
    <w:rsid w:val="14B36B91"/>
    <w:rsid w:val="14DE3D1B"/>
    <w:rsid w:val="152C2554"/>
    <w:rsid w:val="157974F8"/>
    <w:rsid w:val="15DD3861"/>
    <w:rsid w:val="162900B5"/>
    <w:rsid w:val="1634239A"/>
    <w:rsid w:val="16394032"/>
    <w:rsid w:val="164F667E"/>
    <w:rsid w:val="165D0583"/>
    <w:rsid w:val="16654289"/>
    <w:rsid w:val="16BA6C12"/>
    <w:rsid w:val="16C0122F"/>
    <w:rsid w:val="16CB37AF"/>
    <w:rsid w:val="16DB79C9"/>
    <w:rsid w:val="16F55CC6"/>
    <w:rsid w:val="17141F2D"/>
    <w:rsid w:val="176F5C05"/>
    <w:rsid w:val="17765002"/>
    <w:rsid w:val="17A076C4"/>
    <w:rsid w:val="17A62BCE"/>
    <w:rsid w:val="17E826AB"/>
    <w:rsid w:val="18407C50"/>
    <w:rsid w:val="1872258F"/>
    <w:rsid w:val="18D3414F"/>
    <w:rsid w:val="18D91924"/>
    <w:rsid w:val="19831412"/>
    <w:rsid w:val="19A96435"/>
    <w:rsid w:val="19E43A3D"/>
    <w:rsid w:val="1A0B3A21"/>
    <w:rsid w:val="1A1E43CA"/>
    <w:rsid w:val="1A352FE3"/>
    <w:rsid w:val="1AA41457"/>
    <w:rsid w:val="1B3329B5"/>
    <w:rsid w:val="1B503B85"/>
    <w:rsid w:val="1B595D85"/>
    <w:rsid w:val="1B7F155B"/>
    <w:rsid w:val="1BAE2A00"/>
    <w:rsid w:val="1C5E2F54"/>
    <w:rsid w:val="1CA0799D"/>
    <w:rsid w:val="1D1F1294"/>
    <w:rsid w:val="1D85535E"/>
    <w:rsid w:val="1DB41841"/>
    <w:rsid w:val="1DE45821"/>
    <w:rsid w:val="1DF64986"/>
    <w:rsid w:val="1E8806BC"/>
    <w:rsid w:val="1E8B4EFF"/>
    <w:rsid w:val="1EA137E3"/>
    <w:rsid w:val="1EC97F44"/>
    <w:rsid w:val="1F0936F5"/>
    <w:rsid w:val="1F17474D"/>
    <w:rsid w:val="1F2B10F9"/>
    <w:rsid w:val="1F711839"/>
    <w:rsid w:val="1F8A172B"/>
    <w:rsid w:val="1FA564C4"/>
    <w:rsid w:val="200D067C"/>
    <w:rsid w:val="20811B82"/>
    <w:rsid w:val="20A662B2"/>
    <w:rsid w:val="21091739"/>
    <w:rsid w:val="211451D0"/>
    <w:rsid w:val="21402B64"/>
    <w:rsid w:val="2151075A"/>
    <w:rsid w:val="2187422D"/>
    <w:rsid w:val="219E74A3"/>
    <w:rsid w:val="22571B82"/>
    <w:rsid w:val="22843CEF"/>
    <w:rsid w:val="22920D1D"/>
    <w:rsid w:val="22C0245E"/>
    <w:rsid w:val="22DF0545"/>
    <w:rsid w:val="23514077"/>
    <w:rsid w:val="23855295"/>
    <w:rsid w:val="23B20773"/>
    <w:rsid w:val="23CF6D67"/>
    <w:rsid w:val="248F188B"/>
    <w:rsid w:val="24BD0518"/>
    <w:rsid w:val="24E91488"/>
    <w:rsid w:val="25077EC5"/>
    <w:rsid w:val="25137D4E"/>
    <w:rsid w:val="256A021C"/>
    <w:rsid w:val="25962669"/>
    <w:rsid w:val="25C20278"/>
    <w:rsid w:val="25C545AD"/>
    <w:rsid w:val="262D62D9"/>
    <w:rsid w:val="2636235F"/>
    <w:rsid w:val="26681CAB"/>
    <w:rsid w:val="267E5FCE"/>
    <w:rsid w:val="26EC79DB"/>
    <w:rsid w:val="2733716E"/>
    <w:rsid w:val="27572E0B"/>
    <w:rsid w:val="280C272A"/>
    <w:rsid w:val="284E33F7"/>
    <w:rsid w:val="287A3770"/>
    <w:rsid w:val="290A138C"/>
    <w:rsid w:val="293606FA"/>
    <w:rsid w:val="29517179"/>
    <w:rsid w:val="29E7086A"/>
    <w:rsid w:val="2A1219AD"/>
    <w:rsid w:val="2A394321"/>
    <w:rsid w:val="2AE26D3F"/>
    <w:rsid w:val="2AF125AB"/>
    <w:rsid w:val="2AF8774D"/>
    <w:rsid w:val="2B0F6E62"/>
    <w:rsid w:val="2B3F4136"/>
    <w:rsid w:val="2B5F7B9D"/>
    <w:rsid w:val="2B6F3DB4"/>
    <w:rsid w:val="2B7579C5"/>
    <w:rsid w:val="2BB04900"/>
    <w:rsid w:val="2BC56E33"/>
    <w:rsid w:val="2C1B2490"/>
    <w:rsid w:val="2C3A3275"/>
    <w:rsid w:val="2C495744"/>
    <w:rsid w:val="2C646517"/>
    <w:rsid w:val="2C7A340E"/>
    <w:rsid w:val="2CEE6B8D"/>
    <w:rsid w:val="2D233DAE"/>
    <w:rsid w:val="2D8D3E25"/>
    <w:rsid w:val="2D8E403A"/>
    <w:rsid w:val="2E145F76"/>
    <w:rsid w:val="2E420772"/>
    <w:rsid w:val="2EA86D09"/>
    <w:rsid w:val="2ECE747D"/>
    <w:rsid w:val="2F100C4D"/>
    <w:rsid w:val="2F32226B"/>
    <w:rsid w:val="2F376D10"/>
    <w:rsid w:val="2F3C08B5"/>
    <w:rsid w:val="2FA231C5"/>
    <w:rsid w:val="308B65F2"/>
    <w:rsid w:val="30A9337F"/>
    <w:rsid w:val="30F5782F"/>
    <w:rsid w:val="3117229F"/>
    <w:rsid w:val="31395268"/>
    <w:rsid w:val="316D08AD"/>
    <w:rsid w:val="317E63BA"/>
    <w:rsid w:val="31A50177"/>
    <w:rsid w:val="31DD775A"/>
    <w:rsid w:val="31ED10C9"/>
    <w:rsid w:val="320F0A18"/>
    <w:rsid w:val="32351CB2"/>
    <w:rsid w:val="324554E5"/>
    <w:rsid w:val="325D2B5A"/>
    <w:rsid w:val="327661FC"/>
    <w:rsid w:val="32B33B5A"/>
    <w:rsid w:val="32B830F8"/>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30DE"/>
    <w:rsid w:val="37AF7036"/>
    <w:rsid w:val="37E70B18"/>
    <w:rsid w:val="380927B5"/>
    <w:rsid w:val="382139EC"/>
    <w:rsid w:val="3876150B"/>
    <w:rsid w:val="38EC220C"/>
    <w:rsid w:val="38EF03A6"/>
    <w:rsid w:val="38F0125F"/>
    <w:rsid w:val="3900577A"/>
    <w:rsid w:val="392739EA"/>
    <w:rsid w:val="392D38AD"/>
    <w:rsid w:val="3946679B"/>
    <w:rsid w:val="394D1646"/>
    <w:rsid w:val="399A43EA"/>
    <w:rsid w:val="399E7329"/>
    <w:rsid w:val="3A0F1960"/>
    <w:rsid w:val="3A166029"/>
    <w:rsid w:val="3AF216E5"/>
    <w:rsid w:val="3B30671A"/>
    <w:rsid w:val="3B5662AC"/>
    <w:rsid w:val="3C212BC6"/>
    <w:rsid w:val="3C864D5F"/>
    <w:rsid w:val="3CCE203C"/>
    <w:rsid w:val="3D0C1655"/>
    <w:rsid w:val="3D4E48C8"/>
    <w:rsid w:val="3D50421B"/>
    <w:rsid w:val="3D77737D"/>
    <w:rsid w:val="3DC04E13"/>
    <w:rsid w:val="3DD244E7"/>
    <w:rsid w:val="3E132617"/>
    <w:rsid w:val="3E1747FA"/>
    <w:rsid w:val="3E5B41D6"/>
    <w:rsid w:val="3E964B98"/>
    <w:rsid w:val="3ECE16FA"/>
    <w:rsid w:val="3ED12F98"/>
    <w:rsid w:val="3F3542FD"/>
    <w:rsid w:val="3F4118C8"/>
    <w:rsid w:val="3F5C676A"/>
    <w:rsid w:val="3F7D7385"/>
    <w:rsid w:val="3FF55768"/>
    <w:rsid w:val="40093B4F"/>
    <w:rsid w:val="404111D7"/>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4012CB"/>
    <w:rsid w:val="43BC4F26"/>
    <w:rsid w:val="43EE582E"/>
    <w:rsid w:val="43FB3DA4"/>
    <w:rsid w:val="441C4006"/>
    <w:rsid w:val="449E489D"/>
    <w:rsid w:val="44B24294"/>
    <w:rsid w:val="44CF520F"/>
    <w:rsid w:val="44D50483"/>
    <w:rsid w:val="451019FB"/>
    <w:rsid w:val="45361837"/>
    <w:rsid w:val="455B13AC"/>
    <w:rsid w:val="45CF3CD0"/>
    <w:rsid w:val="460567D8"/>
    <w:rsid w:val="4626023B"/>
    <w:rsid w:val="462F25DF"/>
    <w:rsid w:val="46620161"/>
    <w:rsid w:val="46C17C69"/>
    <w:rsid w:val="47105917"/>
    <w:rsid w:val="47971B97"/>
    <w:rsid w:val="47C304FD"/>
    <w:rsid w:val="47C357A6"/>
    <w:rsid w:val="47D77F02"/>
    <w:rsid w:val="4815186D"/>
    <w:rsid w:val="487C3875"/>
    <w:rsid w:val="48977283"/>
    <w:rsid w:val="48FA3778"/>
    <w:rsid w:val="49896512"/>
    <w:rsid w:val="4996414B"/>
    <w:rsid w:val="49987D21"/>
    <w:rsid w:val="49BA3D71"/>
    <w:rsid w:val="49F21BEF"/>
    <w:rsid w:val="4A5C70F1"/>
    <w:rsid w:val="4AA61536"/>
    <w:rsid w:val="4AAD275D"/>
    <w:rsid w:val="4AB61A05"/>
    <w:rsid w:val="4ADF09BE"/>
    <w:rsid w:val="4AF26B9D"/>
    <w:rsid w:val="4B48494A"/>
    <w:rsid w:val="4B4D0680"/>
    <w:rsid w:val="4B7E5274"/>
    <w:rsid w:val="4BB65435"/>
    <w:rsid w:val="4BCE1489"/>
    <w:rsid w:val="4BEA1EE4"/>
    <w:rsid w:val="4C0F5751"/>
    <w:rsid w:val="4C293566"/>
    <w:rsid w:val="4C4E4313"/>
    <w:rsid w:val="4C553BEB"/>
    <w:rsid w:val="4C723787"/>
    <w:rsid w:val="4CF05EAC"/>
    <w:rsid w:val="4D102CB4"/>
    <w:rsid w:val="4D9E609E"/>
    <w:rsid w:val="4E0243C8"/>
    <w:rsid w:val="4E345636"/>
    <w:rsid w:val="4EB053BD"/>
    <w:rsid w:val="4EE87DFE"/>
    <w:rsid w:val="4FBC6FAF"/>
    <w:rsid w:val="4FDC68F3"/>
    <w:rsid w:val="4FFF46BE"/>
    <w:rsid w:val="50005DA1"/>
    <w:rsid w:val="501E4796"/>
    <w:rsid w:val="5041435B"/>
    <w:rsid w:val="50564CCA"/>
    <w:rsid w:val="505A1CB0"/>
    <w:rsid w:val="509778C7"/>
    <w:rsid w:val="51773E2A"/>
    <w:rsid w:val="518F5E8F"/>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553143F"/>
    <w:rsid w:val="55B42DC5"/>
    <w:rsid w:val="561A397A"/>
    <w:rsid w:val="56243301"/>
    <w:rsid w:val="562A1C7A"/>
    <w:rsid w:val="567B20DA"/>
    <w:rsid w:val="56DA5A5F"/>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5FDC7E80"/>
    <w:rsid w:val="60017F85"/>
    <w:rsid w:val="6045086B"/>
    <w:rsid w:val="60745B63"/>
    <w:rsid w:val="61051332"/>
    <w:rsid w:val="62812953"/>
    <w:rsid w:val="62B7743E"/>
    <w:rsid w:val="62B8352F"/>
    <w:rsid w:val="62EF63FA"/>
    <w:rsid w:val="632B39DC"/>
    <w:rsid w:val="64116858"/>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B720D3"/>
    <w:rsid w:val="6C42065A"/>
    <w:rsid w:val="6C6F44FD"/>
    <w:rsid w:val="6C9E7796"/>
    <w:rsid w:val="6CB759F8"/>
    <w:rsid w:val="6CD4731D"/>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9C4587"/>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8B4161"/>
    <w:rsid w:val="73A85DC8"/>
    <w:rsid w:val="73C54686"/>
    <w:rsid w:val="73E217DB"/>
    <w:rsid w:val="740F6E24"/>
    <w:rsid w:val="74285611"/>
    <w:rsid w:val="7430057A"/>
    <w:rsid w:val="74573DE9"/>
    <w:rsid w:val="74626087"/>
    <w:rsid w:val="749D37F7"/>
    <w:rsid w:val="74BC6C8B"/>
    <w:rsid w:val="74D53B99"/>
    <w:rsid w:val="754C1AAF"/>
    <w:rsid w:val="76696D01"/>
    <w:rsid w:val="76991F3B"/>
    <w:rsid w:val="76BD4E1F"/>
    <w:rsid w:val="76D8737F"/>
    <w:rsid w:val="76E279D7"/>
    <w:rsid w:val="7718204C"/>
    <w:rsid w:val="77204DC2"/>
    <w:rsid w:val="772E0626"/>
    <w:rsid w:val="7752184A"/>
    <w:rsid w:val="7754709D"/>
    <w:rsid w:val="776E285A"/>
    <w:rsid w:val="77B02D8D"/>
    <w:rsid w:val="77B23404"/>
    <w:rsid w:val="77C0093D"/>
    <w:rsid w:val="77C90B9C"/>
    <w:rsid w:val="78204380"/>
    <w:rsid w:val="78384CBC"/>
    <w:rsid w:val="784258BF"/>
    <w:rsid w:val="793758F2"/>
    <w:rsid w:val="79637177"/>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3B6D8A"/>
    <w:rsid w:val="7F3C5BB0"/>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outlineLvl w:val="3"/>
    </w:pPr>
    <w:rPr>
      <w:i/>
      <w:iCs/>
      <w:color w:val="2F5597" w:themeColor="accent1" w:themeShade="BF"/>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1"/>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1"/>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8F1D0D8E-9113-4D5A-B15A-E78BA74E50DE}">
  <ds:schemaRefs/>
</ds:datastoreItem>
</file>

<file path=docProps/app.xml><?xml version="1.0" encoding="utf-8"?>
<Properties xmlns="http://schemas.openxmlformats.org/officeDocument/2006/extended-properties" xmlns:vt="http://schemas.openxmlformats.org/officeDocument/2006/docPropsVTypes">
  <Template>Normal.dotm</Template>
  <Pages>3</Pages>
  <Words>686</Words>
  <Characters>3912</Characters>
  <Lines>32</Lines>
  <Paragraphs>9</Paragraphs>
  <TotalTime>1</TotalTime>
  <ScaleCrop>false</ScaleCrop>
  <LinksUpToDate>false</LinksUpToDate>
  <CharactersWithSpaces>4589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2020-08-07T02:29:11Z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